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388" w:lineRule="auto"/>
        <w:ind w:right="1511"/>
        <w:jc w:val="center"/>
        <w:rPr>
          <w:rFonts w:hint="eastAsia" w:ascii="宋体" w:hAnsi="宋体" w:eastAsia="宋体" w:cs="宋体"/>
          <w:b/>
          <w:bCs/>
          <w:spacing w:val="4"/>
          <w:sz w:val="36"/>
          <w:szCs w:val="36"/>
          <w:lang w:val="en-US" w:eastAsia="zh-CN"/>
        </w:rPr>
      </w:pPr>
      <w:bookmarkStart w:id="0" w:name="_GoBack"/>
      <w:bookmarkEnd w:id="0"/>
    </w:p>
    <w:p>
      <w:pPr>
        <w:spacing w:before="98" w:line="388" w:lineRule="auto"/>
        <w:ind w:right="1511"/>
        <w:jc w:val="both"/>
        <w:rPr>
          <w:rFonts w:ascii="宋体" w:hAnsi="宋体" w:eastAsia="宋体" w:cs="宋体"/>
          <w:spacing w:val="11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4"/>
          <w:sz w:val="36"/>
          <w:szCs w:val="36"/>
          <w:lang w:val="en-US" w:eastAsia="zh-CN"/>
        </w:rPr>
        <w:t xml:space="preserve">       </w:t>
      </w:r>
      <w:r>
        <w:rPr>
          <w:rFonts w:ascii="宋体" w:hAnsi="宋体" w:eastAsia="宋体" w:cs="宋体"/>
          <w:b/>
          <w:bCs/>
          <w:spacing w:val="4"/>
          <w:sz w:val="32"/>
          <w:szCs w:val="32"/>
        </w:rPr>
        <w:t>婴幼儿配方食品</w:t>
      </w:r>
      <w:r>
        <w:rPr>
          <w:rFonts w:hint="eastAsia" w:ascii="宋体" w:hAnsi="宋体" w:eastAsia="宋体" w:cs="宋体"/>
          <w:b/>
          <w:bCs/>
          <w:spacing w:val="4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2"/>
          <w:szCs w:val="32"/>
        </w:rPr>
        <w:t>产品配方备案信息表</w:t>
      </w:r>
    </w:p>
    <w:p>
      <w:pPr>
        <w:spacing w:before="98" w:line="388" w:lineRule="auto"/>
        <w:ind w:right="1511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b/>
          <w:bCs/>
          <w:spacing w:val="-4"/>
          <w:sz w:val="21"/>
          <w:szCs w:val="21"/>
        </w:rPr>
        <w:t>产品名称(产品配方注册号):</w:t>
      </w:r>
    </w:p>
    <w:tbl>
      <w:tblPr>
        <w:tblStyle w:val="5"/>
        <w:tblpPr w:leftFromText="180" w:rightFromText="180" w:vertAnchor="text" w:horzAnchor="page" w:tblpX="1509" w:tblpY="6"/>
        <w:tblOverlap w:val="never"/>
        <w:tblW w:w="88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3656"/>
        <w:gridCol w:w="2557"/>
        <w:gridCol w:w="1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44" w:type="dxa"/>
            <w:noWrap w:val="0"/>
            <w:vAlign w:val="top"/>
          </w:tcPr>
          <w:p>
            <w:pPr>
              <w:pStyle w:val="4"/>
              <w:spacing w:before="92" w:line="221" w:lineRule="auto"/>
              <w:ind w:left="22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656" w:type="dxa"/>
            <w:noWrap w:val="0"/>
            <w:vAlign w:val="top"/>
          </w:tcPr>
          <w:p>
            <w:pPr>
              <w:pStyle w:val="4"/>
              <w:spacing w:before="90" w:line="219" w:lineRule="auto"/>
              <w:ind w:left="144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标示百分比的食品添加剂及组成</w:t>
            </w:r>
          </w:p>
        </w:tc>
        <w:tc>
          <w:tcPr>
            <w:tcW w:w="2557" w:type="dxa"/>
            <w:noWrap w:val="0"/>
            <w:vAlign w:val="top"/>
          </w:tcPr>
          <w:p>
            <w:pPr>
              <w:pStyle w:val="4"/>
              <w:spacing w:before="92" w:line="220" w:lineRule="auto"/>
              <w:ind w:left="44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用量及计量单位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pStyle w:val="4"/>
              <w:spacing w:before="92" w:line="221" w:lineRule="auto"/>
              <w:ind w:left="59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44" w:type="dxa"/>
            <w:noWrap w:val="0"/>
            <w:vAlign w:val="top"/>
          </w:tcPr>
          <w:p>
            <w:pPr>
              <w:pStyle w:val="4"/>
              <w:spacing w:before="190" w:line="184" w:lineRule="auto"/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44" w:type="dxa"/>
            <w:noWrap w:val="0"/>
            <w:vAlign w:val="top"/>
          </w:tcPr>
          <w:p>
            <w:pPr>
              <w:pStyle w:val="4"/>
              <w:spacing w:before="181" w:line="184" w:lineRule="auto"/>
              <w:ind w:left="28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1.1</w:t>
            </w:r>
          </w:p>
        </w:tc>
        <w:tc>
          <w:tcPr>
            <w:tcW w:w="365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944" w:type="dxa"/>
            <w:noWrap w:val="0"/>
            <w:vAlign w:val="top"/>
          </w:tcPr>
          <w:p>
            <w:pPr>
              <w:pStyle w:val="4"/>
              <w:spacing w:before="192" w:line="184" w:lineRule="auto"/>
              <w:ind w:left="28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1.2</w:t>
            </w:r>
          </w:p>
        </w:tc>
        <w:tc>
          <w:tcPr>
            <w:tcW w:w="365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44" w:type="dxa"/>
            <w:noWrap w:val="0"/>
            <w:vAlign w:val="top"/>
          </w:tcPr>
          <w:p>
            <w:pPr>
              <w:pStyle w:val="4"/>
              <w:spacing w:before="193" w:line="184" w:lineRule="auto"/>
              <w:ind w:left="28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1.3</w:t>
            </w:r>
          </w:p>
        </w:tc>
        <w:tc>
          <w:tcPr>
            <w:tcW w:w="365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5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5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9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5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5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5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5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7" w:lineRule="exact"/>
      </w:pPr>
    </w:p>
    <w:p>
      <w:pPr>
        <w:spacing w:line="197" w:lineRule="auto"/>
        <w:rPr>
          <w:rFonts w:ascii="仿宋" w:hAnsi="仿宋" w:eastAsia="仿宋" w:cs="仿宋"/>
          <w:spacing w:val="-9"/>
          <w:sz w:val="21"/>
          <w:szCs w:val="21"/>
        </w:rPr>
      </w:pPr>
    </w:p>
    <w:p>
      <w:pPr>
        <w:spacing w:line="197" w:lineRule="auto"/>
        <w:rPr>
          <w:rFonts w:ascii="仿宋" w:hAnsi="仿宋" w:eastAsia="仿宋" w:cs="仿宋"/>
          <w:spacing w:val="-9"/>
          <w:sz w:val="21"/>
          <w:szCs w:val="21"/>
        </w:rPr>
      </w:pPr>
      <w:r>
        <w:rPr>
          <w:rFonts w:ascii="仿宋" w:hAnsi="仿宋" w:eastAsia="仿宋" w:cs="仿宋"/>
          <w:spacing w:val="-9"/>
          <w:sz w:val="21"/>
          <w:szCs w:val="21"/>
        </w:rPr>
        <w:t>注：1.“标示百分比的食品添加剂”是产品配方注册证书附件1备注中，表示在该食品添加剂中添加</w:t>
      </w:r>
    </w:p>
    <w:p>
      <w:pPr>
        <w:spacing w:line="197" w:lineRule="auto"/>
        <w:rPr>
          <w:rFonts w:ascii="仿宋" w:hAnsi="仿宋" w:eastAsia="仿宋" w:cs="仿宋"/>
          <w:spacing w:val="-9"/>
          <w:sz w:val="21"/>
          <w:szCs w:val="21"/>
        </w:rPr>
      </w:pPr>
      <w:r>
        <w:rPr>
          <w:rFonts w:ascii="仿宋" w:hAnsi="仿宋" w:eastAsia="仿宋" w:cs="仿宋"/>
          <w:spacing w:val="-9"/>
          <w:sz w:val="21"/>
          <w:szCs w:val="21"/>
        </w:rPr>
        <w:t>了 GB2760 中允许婴幼儿配方食品使用的食品添加剂和/或符合相应食品安全标准的食品原料等作为辅料(作为辅料的食品添加剂也可参照欧盟相关规定，但应属于GB2760 中允许使用的食品添加剂),这些辅料不在最终食品中发挥功能作用。括号内的百分比表示该食品添加剂的有效含量百分比，可根据需要调整。2.首次备案时，填写批准注册产品配方时的食品添加剂实际组成及用量；根据需要调整食品添加剂组成成分的，生产前重新备案调整后的组成及用量。3.产品配方注册证书附件1备注中标注</w:t>
      </w:r>
      <w:r>
        <w:rPr>
          <w:rFonts w:hint="eastAsia" w:ascii="仿宋" w:hAnsi="仿宋" w:eastAsia="仿宋" w:cs="仿宋"/>
          <w:spacing w:val="-9"/>
          <w:sz w:val="21"/>
          <w:szCs w:val="21"/>
          <w:lang w:eastAsia="zh-CN"/>
        </w:rPr>
        <w:t>“</w:t>
      </w:r>
      <w:r>
        <w:rPr>
          <w:rFonts w:ascii="仿宋" w:hAnsi="仿宋" w:eastAsia="仿宋" w:cs="仿宋"/>
          <w:spacing w:val="-9"/>
          <w:sz w:val="21"/>
          <w:szCs w:val="21"/>
        </w:rPr>
        <w:t>*</w:t>
      </w:r>
      <w:r>
        <w:rPr>
          <w:rFonts w:hint="eastAsia" w:ascii="仿宋" w:hAnsi="仿宋" w:eastAsia="仿宋" w:cs="仿宋"/>
          <w:spacing w:val="-9"/>
          <w:sz w:val="21"/>
          <w:szCs w:val="21"/>
          <w:lang w:eastAsia="zh-CN"/>
        </w:rPr>
        <w:t>”</w:t>
      </w:r>
      <w:r>
        <w:rPr>
          <w:rFonts w:ascii="仿宋" w:hAnsi="仿宋" w:eastAsia="仿宋" w:cs="仿宋"/>
          <w:spacing w:val="-9"/>
          <w:sz w:val="21"/>
          <w:szCs w:val="21"/>
        </w:rPr>
        <w:t>项的有效含量百分比可依标依规根据需要调整的食品原料、食品添加剂，组成未发生变化的，无需在此表备案。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D38F9"/>
    <w:rsid w:val="7A3B0045"/>
    <w:rsid w:val="7E7D3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2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2024-10-12T22:23:00Z</dcterms:created>
  <dc:creator>duanj</dc:creator>
  <cp:lastModifiedBy>duanj</cp:lastModifiedBy>
  <dcterms:modified xsi:type="dcterms:W3CDTF">2024-10-12T16:11:51Z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